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670" w:rsidRPr="002E2332" w:rsidRDefault="00983670" w:rsidP="00983670">
      <w:pPr>
        <w:jc w:val="center"/>
        <w:rPr>
          <w:rFonts w:ascii="Arial" w:hAnsi="Arial"/>
          <w:lang w:val="es-ES_tradnl"/>
        </w:rPr>
      </w:pPr>
      <w:r w:rsidRPr="002E2332">
        <w:rPr>
          <w:rFonts w:ascii="Arial" w:hAnsi="Arial"/>
        </w:rPr>
        <w:t xml:space="preserve">MAESTRÍA EN </w:t>
      </w:r>
      <w:r w:rsidRPr="002E2332">
        <w:rPr>
          <w:rFonts w:ascii="Arial" w:hAnsi="Arial"/>
          <w:bCs/>
        </w:rPr>
        <w:t>GESTIÓN INTEGRADA DE LOS RECURSOS HÍDRICOS</w:t>
      </w:r>
    </w:p>
    <w:p w:rsidR="00983670" w:rsidRDefault="00983670" w:rsidP="00983670">
      <w:pPr>
        <w:spacing w:after="0" w:line="240" w:lineRule="auto"/>
        <w:jc w:val="center"/>
        <w:rPr>
          <w:rFonts w:ascii="Arial" w:hAnsi="Arial" w:cs="Arial"/>
          <w:b/>
          <w:lang w:val="es-ES_tradnl"/>
        </w:rPr>
      </w:pPr>
      <w:r>
        <w:rPr>
          <w:rFonts w:ascii="Arial" w:hAnsi="Arial" w:cs="Arial"/>
          <w:b/>
          <w:lang w:val="es-ES_tradnl"/>
        </w:rPr>
        <w:t>GESTIÓN DE CUENCAS</w:t>
      </w:r>
    </w:p>
    <w:p w:rsidR="00983670" w:rsidRPr="00983670" w:rsidRDefault="00BC5A19" w:rsidP="00983670">
      <w:pPr>
        <w:jc w:val="center"/>
        <w:rPr>
          <w:rFonts w:ascii="Arial" w:hAnsi="Arial" w:cs="Arial"/>
          <w:i/>
          <w:sz w:val="18"/>
          <w:szCs w:val="18"/>
          <w:lang w:val="es-ES_tradnl"/>
        </w:rPr>
      </w:pPr>
      <w:r>
        <w:rPr>
          <w:rFonts w:ascii="Arial" w:hAnsi="Arial" w:cs="Arial"/>
          <w:i/>
          <w:sz w:val="18"/>
          <w:szCs w:val="18"/>
          <w:lang w:val="es-ES_tradnl"/>
        </w:rPr>
        <w:t xml:space="preserve">Santa Fe. Argentina. 7 al </w:t>
      </w:r>
      <w:r w:rsidR="000B7EEF">
        <w:rPr>
          <w:rFonts w:ascii="Arial" w:hAnsi="Arial" w:cs="Arial"/>
          <w:i/>
          <w:sz w:val="18"/>
          <w:szCs w:val="18"/>
          <w:lang w:val="es-ES_tradnl"/>
        </w:rPr>
        <w:t>11</w:t>
      </w:r>
      <w:r>
        <w:rPr>
          <w:rFonts w:ascii="Arial" w:hAnsi="Arial" w:cs="Arial"/>
          <w:i/>
          <w:sz w:val="18"/>
          <w:szCs w:val="18"/>
          <w:lang w:val="es-ES_tradnl"/>
        </w:rPr>
        <w:t xml:space="preserve"> </w:t>
      </w:r>
      <w:r w:rsidR="00983670" w:rsidRPr="00983670">
        <w:rPr>
          <w:rFonts w:ascii="Arial" w:hAnsi="Arial" w:cs="Arial"/>
          <w:i/>
          <w:sz w:val="18"/>
          <w:szCs w:val="18"/>
          <w:lang w:val="es-ES_tradnl"/>
        </w:rPr>
        <w:t>de octubre</w:t>
      </w:r>
      <w:r>
        <w:rPr>
          <w:rFonts w:ascii="Arial" w:hAnsi="Arial" w:cs="Arial"/>
          <w:i/>
          <w:sz w:val="18"/>
          <w:szCs w:val="18"/>
          <w:lang w:val="es-ES_tradnl"/>
        </w:rPr>
        <w:t xml:space="preserve"> de 201</w:t>
      </w:r>
      <w:r w:rsidR="000B7EEF">
        <w:rPr>
          <w:rFonts w:ascii="Arial" w:hAnsi="Arial" w:cs="Arial"/>
          <w:i/>
          <w:sz w:val="18"/>
          <w:szCs w:val="18"/>
          <w:lang w:val="es-ES_tradnl"/>
        </w:rPr>
        <w:t>9</w:t>
      </w:r>
    </w:p>
    <w:tbl>
      <w:tblPr>
        <w:tblStyle w:val="Tablaconcuadrcula"/>
        <w:tblW w:w="8978" w:type="dxa"/>
        <w:tblLook w:val="04A0" w:firstRow="1" w:lastRow="0" w:firstColumn="1" w:lastColumn="0" w:noHBand="0" w:noVBand="1"/>
      </w:tblPr>
      <w:tblGrid>
        <w:gridCol w:w="1668"/>
        <w:gridCol w:w="5953"/>
        <w:gridCol w:w="1357"/>
      </w:tblGrid>
      <w:tr w:rsidR="00D96FF5" w:rsidRPr="006F59E3" w:rsidTr="00FB26EA">
        <w:tc>
          <w:tcPr>
            <w:tcW w:w="8978" w:type="dxa"/>
            <w:gridSpan w:val="3"/>
            <w:shd w:val="clear" w:color="auto" w:fill="B8CCE4" w:themeFill="accent1" w:themeFillTint="66"/>
          </w:tcPr>
          <w:p w:rsidR="00D96FF5" w:rsidRPr="006F59E3" w:rsidRDefault="000B7EEF" w:rsidP="00BC5A19">
            <w:pPr>
              <w:rPr>
                <w:b/>
              </w:rPr>
            </w:pPr>
            <w:r w:rsidRPr="006F59E3">
              <w:rPr>
                <w:b/>
              </w:rPr>
              <w:t>Lunes 7</w:t>
            </w:r>
            <w:r w:rsidR="00BC5A19" w:rsidRPr="006F59E3">
              <w:rPr>
                <w:b/>
              </w:rPr>
              <w:t xml:space="preserve"> </w:t>
            </w:r>
            <w:r w:rsidR="00D96FF5" w:rsidRPr="006F59E3">
              <w:rPr>
                <w:b/>
              </w:rPr>
              <w:t>de octubre</w:t>
            </w:r>
          </w:p>
        </w:tc>
      </w:tr>
      <w:tr w:rsidR="00D96FF5" w:rsidRPr="006F59E3" w:rsidTr="00FB26EA">
        <w:tc>
          <w:tcPr>
            <w:tcW w:w="1668" w:type="dxa"/>
          </w:tcPr>
          <w:p w:rsidR="00D96FF5" w:rsidRPr="006F59E3" w:rsidRDefault="00BC5A19" w:rsidP="00D96FF5">
            <w:r w:rsidRPr="006F59E3">
              <w:t>15:</w:t>
            </w:r>
            <w:r w:rsidR="000B7EEF" w:rsidRPr="006F59E3">
              <w:t>0</w:t>
            </w:r>
            <w:r w:rsidR="00FB26EA" w:rsidRPr="006F59E3">
              <w:t>0 – 1</w:t>
            </w:r>
            <w:r w:rsidR="000B7EEF" w:rsidRPr="006F59E3">
              <w:t>6</w:t>
            </w:r>
            <w:r w:rsidR="00FB26EA" w:rsidRPr="006F59E3">
              <w:t>:30</w:t>
            </w:r>
          </w:p>
        </w:tc>
        <w:tc>
          <w:tcPr>
            <w:tcW w:w="5953" w:type="dxa"/>
          </w:tcPr>
          <w:p w:rsidR="00D96FF5" w:rsidRPr="006F59E3" w:rsidRDefault="00EA1FF5" w:rsidP="00FB26EA">
            <w:r w:rsidRPr="006F59E3">
              <w:t>La cuenca como unidad de gestión y planificación. La cuenca como sistema. Conceptualización del sistema físico. Identificación de componentes naturales y antrópicos en la cuenca. Problemática en cuencas rurales y en cuencas urbanas. Etapas en la gestión de cuenca.</w:t>
            </w:r>
          </w:p>
        </w:tc>
        <w:tc>
          <w:tcPr>
            <w:tcW w:w="1357" w:type="dxa"/>
          </w:tcPr>
          <w:p w:rsidR="00D96FF5" w:rsidRPr="006F59E3" w:rsidRDefault="00FB26EA">
            <w:r w:rsidRPr="006F59E3">
              <w:t>Viviana</w:t>
            </w:r>
            <w:r w:rsidR="00BC5A19" w:rsidRPr="006F59E3">
              <w:t xml:space="preserve"> </w:t>
            </w:r>
            <w:proofErr w:type="spellStart"/>
            <w:r w:rsidR="00BC5A19" w:rsidRPr="006F59E3">
              <w:t>Zucarelli</w:t>
            </w:r>
            <w:proofErr w:type="spellEnd"/>
          </w:p>
        </w:tc>
      </w:tr>
      <w:tr w:rsidR="00FB26EA" w:rsidRPr="006F59E3" w:rsidTr="009936DC">
        <w:tc>
          <w:tcPr>
            <w:tcW w:w="1668" w:type="dxa"/>
            <w:shd w:val="clear" w:color="auto" w:fill="DBE5F1" w:themeFill="accent1" w:themeFillTint="33"/>
          </w:tcPr>
          <w:p w:rsidR="00FB26EA" w:rsidRPr="006F59E3" w:rsidRDefault="00FB26EA">
            <w:r w:rsidRPr="006F59E3">
              <w:t>1</w:t>
            </w:r>
            <w:r w:rsidR="000B7EEF" w:rsidRPr="006F59E3">
              <w:t>6</w:t>
            </w:r>
            <w:r w:rsidRPr="006F59E3">
              <w:t>:30 – 1</w:t>
            </w:r>
            <w:r w:rsidR="000B7EEF" w:rsidRPr="006F59E3">
              <w:t>7</w:t>
            </w:r>
            <w:r w:rsidRPr="006F59E3">
              <w:t>:00</w:t>
            </w:r>
          </w:p>
        </w:tc>
        <w:tc>
          <w:tcPr>
            <w:tcW w:w="7310" w:type="dxa"/>
            <w:gridSpan w:val="2"/>
            <w:shd w:val="clear" w:color="auto" w:fill="DBE5F1" w:themeFill="accent1" w:themeFillTint="33"/>
          </w:tcPr>
          <w:p w:rsidR="00FB26EA" w:rsidRPr="006F59E3" w:rsidRDefault="00FB26EA">
            <w:r w:rsidRPr="006F59E3">
              <w:t>Descanso</w:t>
            </w:r>
          </w:p>
        </w:tc>
      </w:tr>
      <w:tr w:rsidR="009936DC" w:rsidRPr="006F59E3" w:rsidTr="009936DC">
        <w:tc>
          <w:tcPr>
            <w:tcW w:w="1668" w:type="dxa"/>
          </w:tcPr>
          <w:p w:rsidR="009936DC" w:rsidRPr="006F59E3" w:rsidRDefault="009936DC" w:rsidP="009936DC">
            <w:r w:rsidRPr="006F59E3">
              <w:t>17:00 – 21:00</w:t>
            </w:r>
          </w:p>
        </w:tc>
        <w:tc>
          <w:tcPr>
            <w:tcW w:w="5953" w:type="dxa"/>
          </w:tcPr>
          <w:p w:rsidR="009936DC" w:rsidRPr="006F59E3" w:rsidRDefault="00EA1FF5" w:rsidP="009936DC">
            <w:r w:rsidRPr="006F59E3">
              <w:t>Herramientas para la gestión de cuenca: modelos de gestión, de simulación, de optimización. Análisis de escenarios en un contexto de cambio global. Medidas no estructurales para la gestión de cuenca. Sistemas Soporte de Decisión.  Casos de estudios.</w:t>
            </w:r>
          </w:p>
        </w:tc>
        <w:tc>
          <w:tcPr>
            <w:tcW w:w="1357" w:type="dxa"/>
          </w:tcPr>
          <w:p w:rsidR="009936DC" w:rsidRPr="006F59E3" w:rsidRDefault="009936DC" w:rsidP="009936DC">
            <w:r w:rsidRPr="006F59E3">
              <w:t xml:space="preserve">Viviana </w:t>
            </w:r>
            <w:proofErr w:type="spellStart"/>
            <w:r w:rsidRPr="006F59E3">
              <w:t>Zucarelli</w:t>
            </w:r>
            <w:proofErr w:type="spellEnd"/>
          </w:p>
        </w:tc>
      </w:tr>
      <w:tr w:rsidR="00D96FF5" w:rsidRPr="006F59E3" w:rsidTr="00FB26EA">
        <w:tc>
          <w:tcPr>
            <w:tcW w:w="8978" w:type="dxa"/>
            <w:gridSpan w:val="3"/>
            <w:shd w:val="clear" w:color="auto" w:fill="B8CCE4" w:themeFill="accent1" w:themeFillTint="66"/>
          </w:tcPr>
          <w:p w:rsidR="00D96FF5" w:rsidRPr="006F59E3" w:rsidRDefault="000B7EEF" w:rsidP="00BC5A19">
            <w:pPr>
              <w:rPr>
                <w:b/>
              </w:rPr>
            </w:pPr>
            <w:r w:rsidRPr="006F59E3">
              <w:rPr>
                <w:b/>
              </w:rPr>
              <w:t xml:space="preserve">Martes 8 </w:t>
            </w:r>
            <w:r w:rsidR="00BC5A19" w:rsidRPr="006F59E3">
              <w:rPr>
                <w:b/>
              </w:rPr>
              <w:t>de</w:t>
            </w:r>
            <w:r w:rsidR="00D96FF5" w:rsidRPr="006F59E3">
              <w:rPr>
                <w:b/>
              </w:rPr>
              <w:t xml:space="preserve"> octubre</w:t>
            </w:r>
          </w:p>
        </w:tc>
      </w:tr>
      <w:tr w:rsidR="00EA1FF5" w:rsidRPr="006F59E3" w:rsidTr="00FB26EA">
        <w:tc>
          <w:tcPr>
            <w:tcW w:w="1668" w:type="dxa"/>
          </w:tcPr>
          <w:p w:rsidR="00EA1FF5" w:rsidRPr="006F59E3" w:rsidRDefault="00EA1FF5" w:rsidP="00EA1FF5">
            <w:r w:rsidRPr="006F59E3">
              <w:t>15:00 – 16:30</w:t>
            </w:r>
          </w:p>
        </w:tc>
        <w:tc>
          <w:tcPr>
            <w:tcW w:w="5953" w:type="dxa"/>
          </w:tcPr>
          <w:p w:rsidR="00EA1FF5" w:rsidRPr="006F59E3" w:rsidRDefault="00EA1FF5" w:rsidP="00EA1FF5">
            <w:r w:rsidRPr="006F59E3">
              <w:t>La gestión de los recursos hídricos por cuenca. Conceptos introductorios. Funciones, objetivos e indicadores. La cogestión en la cuenca. Principales desafíos que afronta la gestión de cuencas.</w:t>
            </w:r>
          </w:p>
        </w:tc>
        <w:tc>
          <w:tcPr>
            <w:tcW w:w="1357" w:type="dxa"/>
          </w:tcPr>
          <w:p w:rsidR="00EA1FF5" w:rsidRPr="006F59E3" w:rsidRDefault="00EA1FF5" w:rsidP="00EA1FF5">
            <w:r w:rsidRPr="006F59E3">
              <w:t xml:space="preserve">Mario </w:t>
            </w:r>
            <w:proofErr w:type="spellStart"/>
            <w:r w:rsidRPr="006F59E3">
              <w:t>Schreider</w:t>
            </w:r>
            <w:proofErr w:type="spellEnd"/>
          </w:p>
        </w:tc>
      </w:tr>
      <w:tr w:rsidR="000B7EEF" w:rsidRPr="006F59E3" w:rsidTr="009936DC">
        <w:tc>
          <w:tcPr>
            <w:tcW w:w="1668" w:type="dxa"/>
            <w:shd w:val="clear" w:color="auto" w:fill="DBE5F1" w:themeFill="accent1" w:themeFillTint="33"/>
          </w:tcPr>
          <w:p w:rsidR="000B7EEF" w:rsidRPr="006F59E3" w:rsidRDefault="000B7EEF" w:rsidP="000B7EEF">
            <w:r w:rsidRPr="006F59E3">
              <w:t>16:30 – 17:00</w:t>
            </w:r>
          </w:p>
        </w:tc>
        <w:tc>
          <w:tcPr>
            <w:tcW w:w="7310" w:type="dxa"/>
            <w:gridSpan w:val="2"/>
            <w:shd w:val="clear" w:color="auto" w:fill="DBE5F1" w:themeFill="accent1" w:themeFillTint="33"/>
          </w:tcPr>
          <w:p w:rsidR="000B7EEF" w:rsidRPr="006F59E3" w:rsidRDefault="000B7EEF" w:rsidP="000B7EEF">
            <w:r w:rsidRPr="006F59E3">
              <w:t>Descanso</w:t>
            </w:r>
          </w:p>
        </w:tc>
      </w:tr>
      <w:tr w:rsidR="000832CB" w:rsidRPr="006F59E3" w:rsidTr="000832CB">
        <w:tc>
          <w:tcPr>
            <w:tcW w:w="1668" w:type="dxa"/>
          </w:tcPr>
          <w:p w:rsidR="000832CB" w:rsidRPr="006F59E3" w:rsidRDefault="000832CB" w:rsidP="000B7EEF">
            <w:r w:rsidRPr="006F59E3">
              <w:t>17:00 – 19:00</w:t>
            </w:r>
          </w:p>
        </w:tc>
        <w:tc>
          <w:tcPr>
            <w:tcW w:w="5953" w:type="dxa"/>
          </w:tcPr>
          <w:p w:rsidR="000832CB" w:rsidRPr="006F59E3" w:rsidRDefault="000832CB" w:rsidP="00F2589C">
            <w:r w:rsidRPr="006F59E3">
              <w:t>Organismos de cuenca, roles y tipos. Evolución de los roles de un organismo de cuenca. Tipos de organism</w:t>
            </w:r>
            <w:r>
              <w:t xml:space="preserve">os de cuenca. Caso de estudio: </w:t>
            </w:r>
            <w:r w:rsidRPr="006F59E3">
              <w:t>Modelos de organización de los Consejos de Recursos Hídricos de las cuencas en Perú.</w:t>
            </w:r>
          </w:p>
        </w:tc>
        <w:tc>
          <w:tcPr>
            <w:tcW w:w="1357" w:type="dxa"/>
          </w:tcPr>
          <w:p w:rsidR="000832CB" w:rsidRPr="006F59E3" w:rsidRDefault="000832CB" w:rsidP="00F2589C">
            <w:r w:rsidRPr="006F59E3">
              <w:t xml:space="preserve">Mario </w:t>
            </w:r>
            <w:proofErr w:type="spellStart"/>
            <w:r w:rsidRPr="006F59E3">
              <w:t>Schreider</w:t>
            </w:r>
            <w:proofErr w:type="spellEnd"/>
          </w:p>
        </w:tc>
      </w:tr>
      <w:tr w:rsidR="009936DC" w:rsidRPr="006F59E3" w:rsidTr="00AD38C1">
        <w:tc>
          <w:tcPr>
            <w:tcW w:w="1668" w:type="dxa"/>
          </w:tcPr>
          <w:p w:rsidR="009936DC" w:rsidRPr="006F59E3" w:rsidRDefault="009936DC" w:rsidP="000B7EEF">
            <w:r w:rsidRPr="006F59E3">
              <w:t>19:00 – 21:00</w:t>
            </w:r>
          </w:p>
        </w:tc>
        <w:tc>
          <w:tcPr>
            <w:tcW w:w="7310" w:type="dxa"/>
            <w:gridSpan w:val="2"/>
          </w:tcPr>
          <w:p w:rsidR="009936DC" w:rsidRPr="006F59E3" w:rsidRDefault="009936DC" w:rsidP="000B7EEF">
            <w:r w:rsidRPr="006F59E3">
              <w:t>Trabajo en los casos de estudio</w:t>
            </w:r>
          </w:p>
        </w:tc>
      </w:tr>
      <w:tr w:rsidR="00B43B61" w:rsidRPr="006F59E3" w:rsidTr="00B43B61">
        <w:tc>
          <w:tcPr>
            <w:tcW w:w="8978" w:type="dxa"/>
            <w:gridSpan w:val="3"/>
            <w:shd w:val="clear" w:color="auto" w:fill="B8CCE4" w:themeFill="accent1" w:themeFillTint="66"/>
          </w:tcPr>
          <w:p w:rsidR="00B43B61" w:rsidRPr="006F59E3" w:rsidRDefault="00B43B61" w:rsidP="00B43B61">
            <w:r w:rsidRPr="006F59E3">
              <w:rPr>
                <w:b/>
              </w:rPr>
              <w:t>Miércoles 9 de octubre</w:t>
            </w:r>
          </w:p>
        </w:tc>
      </w:tr>
      <w:tr w:rsidR="00EA1FF5" w:rsidRPr="006F59E3" w:rsidTr="00FB26EA">
        <w:tc>
          <w:tcPr>
            <w:tcW w:w="1668" w:type="dxa"/>
          </w:tcPr>
          <w:p w:rsidR="00EA1FF5" w:rsidRPr="006F59E3" w:rsidRDefault="00EA1FF5" w:rsidP="00EA1FF5">
            <w:r w:rsidRPr="006F59E3">
              <w:t>15:00 – 16:30</w:t>
            </w:r>
          </w:p>
        </w:tc>
        <w:tc>
          <w:tcPr>
            <w:tcW w:w="5953" w:type="dxa"/>
          </w:tcPr>
          <w:p w:rsidR="00EA1FF5" w:rsidRPr="006F59E3" w:rsidRDefault="00EA1FF5" w:rsidP="00EA1FF5">
            <w:r w:rsidRPr="006F59E3">
              <w:t xml:space="preserve">Cuenca y ambientes hidrogeológicos.  Bienes y servicios ambientales.  Ejemplos de caso: Esperanza (Argentina). Santa Fe (Argentina). Alto Guadiana (España), </w:t>
            </w:r>
            <w:proofErr w:type="spellStart"/>
            <w:r w:rsidRPr="006F59E3">
              <w:t>Nimboyores</w:t>
            </w:r>
            <w:proofErr w:type="spellEnd"/>
            <w:r w:rsidRPr="006F59E3">
              <w:t xml:space="preserve"> (Costa Rica).</w:t>
            </w:r>
          </w:p>
        </w:tc>
        <w:tc>
          <w:tcPr>
            <w:tcW w:w="1357" w:type="dxa"/>
          </w:tcPr>
          <w:p w:rsidR="00EA1FF5" w:rsidRPr="006F59E3" w:rsidRDefault="00EA1FF5" w:rsidP="00EA1FF5">
            <w:r w:rsidRPr="006F59E3">
              <w:t xml:space="preserve">Marta Paris </w:t>
            </w:r>
          </w:p>
        </w:tc>
      </w:tr>
      <w:tr w:rsidR="00EA065C" w:rsidRPr="006F59E3" w:rsidTr="009936DC">
        <w:tc>
          <w:tcPr>
            <w:tcW w:w="1668" w:type="dxa"/>
            <w:shd w:val="clear" w:color="auto" w:fill="DBE5F1" w:themeFill="accent1" w:themeFillTint="33"/>
          </w:tcPr>
          <w:p w:rsidR="00EA065C" w:rsidRPr="006F59E3" w:rsidRDefault="00EA065C" w:rsidP="00EA065C">
            <w:r w:rsidRPr="006F59E3">
              <w:t>16:30 – 17:00</w:t>
            </w:r>
          </w:p>
        </w:tc>
        <w:tc>
          <w:tcPr>
            <w:tcW w:w="7310" w:type="dxa"/>
            <w:gridSpan w:val="2"/>
            <w:shd w:val="clear" w:color="auto" w:fill="DBE5F1" w:themeFill="accent1" w:themeFillTint="33"/>
          </w:tcPr>
          <w:p w:rsidR="00EA065C" w:rsidRPr="006F59E3" w:rsidRDefault="00EA065C" w:rsidP="00EA065C">
            <w:r w:rsidRPr="006F59E3">
              <w:t>Descanso</w:t>
            </w:r>
          </w:p>
        </w:tc>
      </w:tr>
      <w:tr w:rsidR="00EA065C" w:rsidRPr="006F59E3" w:rsidTr="00FB26EA">
        <w:tc>
          <w:tcPr>
            <w:tcW w:w="1668" w:type="dxa"/>
          </w:tcPr>
          <w:p w:rsidR="00EA065C" w:rsidRPr="006F59E3" w:rsidRDefault="00EA065C" w:rsidP="00EA065C">
            <w:r w:rsidRPr="006F59E3">
              <w:t>17:30 – 19:00</w:t>
            </w:r>
          </w:p>
        </w:tc>
        <w:tc>
          <w:tcPr>
            <w:tcW w:w="5953" w:type="dxa"/>
          </w:tcPr>
          <w:p w:rsidR="00EA065C" w:rsidRPr="006F59E3" w:rsidRDefault="00CE3861" w:rsidP="00CE3861">
            <w:r w:rsidRPr="00CE3861">
              <w:rPr>
                <w:bCs/>
              </w:rPr>
              <w:t>Modelo participativo de organización para la gestión integrada</w:t>
            </w:r>
            <w:r w:rsidR="00F145E6">
              <w:rPr>
                <w:bCs/>
              </w:rPr>
              <w:t xml:space="preserve"> d</w:t>
            </w:r>
            <w:bookmarkStart w:id="0" w:name="_GoBack"/>
            <w:bookmarkEnd w:id="0"/>
            <w:r w:rsidRPr="00CE3861">
              <w:rPr>
                <w:bCs/>
              </w:rPr>
              <w:t xml:space="preserve">e los recursos hídricos en la cuenca del río </w:t>
            </w:r>
            <w:proofErr w:type="spellStart"/>
            <w:r>
              <w:rPr>
                <w:bCs/>
              </w:rPr>
              <w:t>T</w:t>
            </w:r>
            <w:r w:rsidRPr="00CE3861">
              <w:rPr>
                <w:bCs/>
              </w:rPr>
              <w:t>apenagá</w:t>
            </w:r>
            <w:proofErr w:type="spellEnd"/>
            <w:r>
              <w:rPr>
                <w:bCs/>
              </w:rPr>
              <w:t xml:space="preserve"> (Chaco, Argentina)</w:t>
            </w:r>
          </w:p>
        </w:tc>
        <w:tc>
          <w:tcPr>
            <w:tcW w:w="1357" w:type="dxa"/>
          </w:tcPr>
          <w:p w:rsidR="00EA065C" w:rsidRPr="006F59E3" w:rsidRDefault="00CE3861" w:rsidP="00EA065C">
            <w:r>
              <w:t>Omar Cano</w:t>
            </w:r>
          </w:p>
        </w:tc>
      </w:tr>
      <w:tr w:rsidR="00EA065C" w:rsidRPr="006F59E3" w:rsidTr="008612DC">
        <w:tc>
          <w:tcPr>
            <w:tcW w:w="1668" w:type="dxa"/>
          </w:tcPr>
          <w:p w:rsidR="00EA065C" w:rsidRPr="006F59E3" w:rsidRDefault="00EA065C" w:rsidP="00EA065C">
            <w:r w:rsidRPr="006F59E3">
              <w:t>19:00 – 21:00</w:t>
            </w:r>
          </w:p>
        </w:tc>
        <w:tc>
          <w:tcPr>
            <w:tcW w:w="7310" w:type="dxa"/>
            <w:gridSpan w:val="2"/>
          </w:tcPr>
          <w:p w:rsidR="00EA065C" w:rsidRPr="006F59E3" w:rsidRDefault="00EA065C" w:rsidP="00EA065C">
            <w:r w:rsidRPr="006F59E3">
              <w:t>Trabajo en los casos de estudio</w:t>
            </w:r>
          </w:p>
        </w:tc>
      </w:tr>
      <w:tr w:rsidR="00EA065C" w:rsidRPr="006F59E3" w:rsidTr="00FB26EA">
        <w:tc>
          <w:tcPr>
            <w:tcW w:w="8978" w:type="dxa"/>
            <w:gridSpan w:val="3"/>
            <w:shd w:val="clear" w:color="auto" w:fill="B8CCE4" w:themeFill="accent1" w:themeFillTint="66"/>
          </w:tcPr>
          <w:p w:rsidR="00EA065C" w:rsidRPr="006F59E3" w:rsidRDefault="00EA065C" w:rsidP="00EA065C">
            <w:pPr>
              <w:rPr>
                <w:b/>
              </w:rPr>
            </w:pPr>
            <w:r w:rsidRPr="006F59E3">
              <w:rPr>
                <w:b/>
              </w:rPr>
              <w:t>Jueves 10 de octubre</w:t>
            </w:r>
          </w:p>
        </w:tc>
      </w:tr>
      <w:tr w:rsidR="00EA065C" w:rsidRPr="006F59E3" w:rsidTr="00FB26EA">
        <w:tc>
          <w:tcPr>
            <w:tcW w:w="1668" w:type="dxa"/>
          </w:tcPr>
          <w:p w:rsidR="00EA065C" w:rsidRPr="006F59E3" w:rsidRDefault="00EA065C" w:rsidP="00EA065C">
            <w:r w:rsidRPr="006F59E3">
              <w:t>15:00 – 16:30</w:t>
            </w:r>
          </w:p>
        </w:tc>
        <w:tc>
          <w:tcPr>
            <w:tcW w:w="5953" w:type="dxa"/>
          </w:tcPr>
          <w:p w:rsidR="00EA065C" w:rsidRPr="006F59E3" w:rsidRDefault="009936DC" w:rsidP="00EA065C">
            <w:r w:rsidRPr="006F59E3">
              <w:t>Seminario de Tesis</w:t>
            </w:r>
          </w:p>
        </w:tc>
        <w:tc>
          <w:tcPr>
            <w:tcW w:w="1357" w:type="dxa"/>
          </w:tcPr>
          <w:p w:rsidR="00EA065C" w:rsidRPr="006F59E3" w:rsidRDefault="009936DC" w:rsidP="00EA065C">
            <w:r w:rsidRPr="006F59E3">
              <w:t xml:space="preserve">Tatiana </w:t>
            </w:r>
            <w:proofErr w:type="spellStart"/>
            <w:r w:rsidRPr="006F59E3">
              <w:t>Jodor</w:t>
            </w:r>
            <w:proofErr w:type="spellEnd"/>
          </w:p>
        </w:tc>
      </w:tr>
      <w:tr w:rsidR="00EA065C" w:rsidRPr="006F59E3" w:rsidTr="009936DC">
        <w:tc>
          <w:tcPr>
            <w:tcW w:w="1668" w:type="dxa"/>
            <w:shd w:val="clear" w:color="auto" w:fill="DBE5F1" w:themeFill="accent1" w:themeFillTint="33"/>
          </w:tcPr>
          <w:p w:rsidR="00EA065C" w:rsidRPr="006F59E3" w:rsidRDefault="00EA065C" w:rsidP="00EA065C">
            <w:r w:rsidRPr="006F59E3">
              <w:t>16:30 – 17:00</w:t>
            </w:r>
          </w:p>
        </w:tc>
        <w:tc>
          <w:tcPr>
            <w:tcW w:w="7310" w:type="dxa"/>
            <w:gridSpan w:val="2"/>
            <w:shd w:val="clear" w:color="auto" w:fill="DBE5F1" w:themeFill="accent1" w:themeFillTint="33"/>
          </w:tcPr>
          <w:p w:rsidR="00EA065C" w:rsidRPr="006F59E3" w:rsidRDefault="00EA065C" w:rsidP="00EA065C">
            <w:r w:rsidRPr="006F59E3">
              <w:t>Descanso</w:t>
            </w:r>
          </w:p>
        </w:tc>
      </w:tr>
      <w:tr w:rsidR="009936DC" w:rsidRPr="006F59E3" w:rsidTr="009936DC">
        <w:tc>
          <w:tcPr>
            <w:tcW w:w="1668" w:type="dxa"/>
            <w:tcBorders>
              <w:bottom w:val="single" w:sz="4" w:space="0" w:color="auto"/>
            </w:tcBorders>
          </w:tcPr>
          <w:p w:rsidR="009936DC" w:rsidRPr="006F59E3" w:rsidRDefault="009936DC" w:rsidP="00EA065C">
            <w:r w:rsidRPr="006F59E3">
              <w:t>17:00 – 18:00</w:t>
            </w:r>
          </w:p>
        </w:tc>
        <w:tc>
          <w:tcPr>
            <w:tcW w:w="5953" w:type="dxa"/>
            <w:tcBorders>
              <w:bottom w:val="single" w:sz="4" w:space="0" w:color="auto"/>
            </w:tcBorders>
          </w:tcPr>
          <w:p w:rsidR="009936DC" w:rsidRPr="006F59E3" w:rsidRDefault="009936DC" w:rsidP="00EA065C">
            <w:r w:rsidRPr="006F59E3">
              <w:t xml:space="preserve">Mapa de Actores – </w:t>
            </w:r>
            <w:r w:rsidR="00E84E67" w:rsidRPr="006F59E3">
              <w:rPr>
                <w:rFonts w:ascii="Calibri" w:hAnsi="Calibri" w:cs="Calibri"/>
                <w:color w:val="000000"/>
                <w:sz w:val="21"/>
                <w:szCs w:val="21"/>
                <w:shd w:val="clear" w:color="auto" w:fill="FFFFFF"/>
              </w:rPr>
              <w:t>Colectores Cipolletti</w:t>
            </w:r>
          </w:p>
        </w:tc>
        <w:tc>
          <w:tcPr>
            <w:tcW w:w="1357" w:type="dxa"/>
            <w:tcBorders>
              <w:bottom w:val="single" w:sz="4" w:space="0" w:color="auto"/>
            </w:tcBorders>
          </w:tcPr>
          <w:p w:rsidR="009936DC" w:rsidRPr="006F59E3" w:rsidRDefault="009936DC" w:rsidP="00EA065C">
            <w:r w:rsidRPr="006F59E3">
              <w:t xml:space="preserve">Cristóbal </w:t>
            </w:r>
            <w:proofErr w:type="spellStart"/>
            <w:r w:rsidRPr="006F59E3">
              <w:t>Lozeco</w:t>
            </w:r>
            <w:proofErr w:type="spellEnd"/>
          </w:p>
        </w:tc>
      </w:tr>
      <w:tr w:rsidR="009936DC" w:rsidRPr="006F59E3" w:rsidTr="009936DC">
        <w:tc>
          <w:tcPr>
            <w:tcW w:w="1668" w:type="dxa"/>
            <w:tcBorders>
              <w:bottom w:val="single" w:sz="4" w:space="0" w:color="auto"/>
            </w:tcBorders>
          </w:tcPr>
          <w:p w:rsidR="009936DC" w:rsidRPr="006F59E3" w:rsidRDefault="009936DC" w:rsidP="009936DC">
            <w:r w:rsidRPr="006F59E3">
              <w:t>18:00 – 21:00</w:t>
            </w:r>
          </w:p>
        </w:tc>
        <w:tc>
          <w:tcPr>
            <w:tcW w:w="5953" w:type="dxa"/>
            <w:tcBorders>
              <w:bottom w:val="single" w:sz="4" w:space="0" w:color="auto"/>
            </w:tcBorders>
          </w:tcPr>
          <w:p w:rsidR="009936DC" w:rsidRPr="006F59E3" w:rsidRDefault="009936DC" w:rsidP="009936DC">
            <w:r w:rsidRPr="006F59E3">
              <w:t xml:space="preserve">Mapa de Actores – </w:t>
            </w:r>
            <w:r w:rsidR="00E84E67" w:rsidRPr="006F59E3">
              <w:rPr>
                <w:rFonts w:ascii="Calibri" w:hAnsi="Calibri" w:cs="Calibri"/>
                <w:color w:val="000000"/>
                <w:sz w:val="21"/>
                <w:szCs w:val="21"/>
                <w:shd w:val="clear" w:color="auto" w:fill="FFFFFF"/>
              </w:rPr>
              <w:t>EIAR Portezuelo del Viento</w:t>
            </w:r>
          </w:p>
        </w:tc>
        <w:tc>
          <w:tcPr>
            <w:tcW w:w="1357" w:type="dxa"/>
            <w:tcBorders>
              <w:bottom w:val="single" w:sz="4" w:space="0" w:color="auto"/>
            </w:tcBorders>
          </w:tcPr>
          <w:p w:rsidR="009936DC" w:rsidRPr="006F59E3" w:rsidRDefault="009936DC" w:rsidP="009936DC">
            <w:r w:rsidRPr="006F59E3">
              <w:t xml:space="preserve">Cristóbal </w:t>
            </w:r>
            <w:proofErr w:type="spellStart"/>
            <w:r w:rsidRPr="006F59E3">
              <w:t>Lozeco</w:t>
            </w:r>
            <w:proofErr w:type="spellEnd"/>
          </w:p>
        </w:tc>
      </w:tr>
      <w:tr w:rsidR="009936DC" w:rsidRPr="006F59E3" w:rsidTr="00573915">
        <w:tc>
          <w:tcPr>
            <w:tcW w:w="8978" w:type="dxa"/>
            <w:gridSpan w:val="3"/>
            <w:shd w:val="clear" w:color="auto" w:fill="B8CCE4" w:themeFill="accent1" w:themeFillTint="66"/>
          </w:tcPr>
          <w:p w:rsidR="009936DC" w:rsidRPr="006F59E3" w:rsidRDefault="009936DC" w:rsidP="009936DC">
            <w:pPr>
              <w:rPr>
                <w:b/>
                <w:bCs/>
              </w:rPr>
            </w:pPr>
            <w:r w:rsidRPr="006F59E3">
              <w:rPr>
                <w:b/>
                <w:bCs/>
              </w:rPr>
              <w:t>Viernes 11 de octubre</w:t>
            </w:r>
          </w:p>
        </w:tc>
      </w:tr>
      <w:tr w:rsidR="009936DC" w:rsidTr="007478A7">
        <w:tc>
          <w:tcPr>
            <w:tcW w:w="1668" w:type="dxa"/>
          </w:tcPr>
          <w:p w:rsidR="009936DC" w:rsidRPr="006F59E3" w:rsidRDefault="009936DC" w:rsidP="009936DC">
            <w:r w:rsidRPr="006F59E3">
              <w:t>15:00 – 18:00</w:t>
            </w:r>
          </w:p>
        </w:tc>
        <w:tc>
          <w:tcPr>
            <w:tcW w:w="7310" w:type="dxa"/>
            <w:gridSpan w:val="2"/>
          </w:tcPr>
          <w:p w:rsidR="009936DC" w:rsidRPr="006F59E3" w:rsidRDefault="009936DC" w:rsidP="009936DC">
            <w:r w:rsidRPr="006F59E3">
              <w:t>Presentación de los casos de estudio (a modo de evaluación)</w:t>
            </w:r>
          </w:p>
        </w:tc>
      </w:tr>
    </w:tbl>
    <w:p w:rsidR="008C018D" w:rsidRDefault="008C018D"/>
    <w:sectPr w:rsidR="008C018D" w:rsidSect="00A977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18D"/>
    <w:rsid w:val="000832CB"/>
    <w:rsid w:val="000B7EEF"/>
    <w:rsid w:val="00201D3F"/>
    <w:rsid w:val="00266104"/>
    <w:rsid w:val="002675F1"/>
    <w:rsid w:val="00335558"/>
    <w:rsid w:val="003E245E"/>
    <w:rsid w:val="00422325"/>
    <w:rsid w:val="0049496B"/>
    <w:rsid w:val="004E77D4"/>
    <w:rsid w:val="00573915"/>
    <w:rsid w:val="00657017"/>
    <w:rsid w:val="006E49CC"/>
    <w:rsid w:val="006F59E3"/>
    <w:rsid w:val="00701DB8"/>
    <w:rsid w:val="0077694E"/>
    <w:rsid w:val="007C0720"/>
    <w:rsid w:val="00885339"/>
    <w:rsid w:val="008A216C"/>
    <w:rsid w:val="008C018D"/>
    <w:rsid w:val="008C2DDA"/>
    <w:rsid w:val="00907D5D"/>
    <w:rsid w:val="00923ECD"/>
    <w:rsid w:val="00955431"/>
    <w:rsid w:val="00983670"/>
    <w:rsid w:val="009936DC"/>
    <w:rsid w:val="009D565E"/>
    <w:rsid w:val="009F7A18"/>
    <w:rsid w:val="00A14148"/>
    <w:rsid w:val="00A977DC"/>
    <w:rsid w:val="00B43B61"/>
    <w:rsid w:val="00BC5A19"/>
    <w:rsid w:val="00C1398C"/>
    <w:rsid w:val="00C36DD9"/>
    <w:rsid w:val="00C60F71"/>
    <w:rsid w:val="00CE3861"/>
    <w:rsid w:val="00D81BB3"/>
    <w:rsid w:val="00D85427"/>
    <w:rsid w:val="00D96FF5"/>
    <w:rsid w:val="00DA74E9"/>
    <w:rsid w:val="00E84E67"/>
    <w:rsid w:val="00EA065C"/>
    <w:rsid w:val="00EA1FF5"/>
    <w:rsid w:val="00F145E6"/>
    <w:rsid w:val="00F5157C"/>
    <w:rsid w:val="00FB26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D132"/>
  <w15:docId w15:val="{12FB988C-03A2-4D8A-9B90-46F740B7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61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C0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326</Words>
  <Characters>1797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Carlos Guillermo Paoli</cp:lastModifiedBy>
  <cp:revision>11</cp:revision>
  <cp:lastPrinted>2019-09-09T21:37:00Z</cp:lastPrinted>
  <dcterms:created xsi:type="dcterms:W3CDTF">2019-09-09T19:59:00Z</dcterms:created>
  <dcterms:modified xsi:type="dcterms:W3CDTF">2019-09-30T14:59:00Z</dcterms:modified>
</cp:coreProperties>
</file>